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ascii="宋体" w:hAnsi="宋体" w:eastAsia="宋体" w:cs="宋体"/>
          <w:sz w:val="20"/>
          <w:szCs w:val="20"/>
        </w:rPr>
      </w:pPr>
      <w:r>
        <w:drawing>
          <wp:anchor distT="0" distB="0" distL="114300" distR="114300" simplePos="0" relativeHeight="251661312" behindDoc="0" locked="0" layoutInCell="1" allowOverlap="1">
            <wp:simplePos x="0" y="0"/>
            <wp:positionH relativeFrom="column">
              <wp:posOffset>2249170</wp:posOffset>
            </wp:positionH>
            <wp:positionV relativeFrom="paragraph">
              <wp:posOffset>92710</wp:posOffset>
            </wp:positionV>
            <wp:extent cx="1986915" cy="2879725"/>
            <wp:effectExtent l="0" t="0" r="13335" b="158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986915" cy="2879725"/>
                    </a:xfrm>
                    <a:prstGeom prst="rect">
                      <a:avLst/>
                    </a:prstGeom>
                    <a:noFill/>
                    <a:ln>
                      <a:noFill/>
                    </a:ln>
                  </pic:spPr>
                </pic:pic>
              </a:graphicData>
            </a:graphic>
          </wp:anchor>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5"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4" name="组合 29"/>
                        <wpg:cNvGrpSpPr/>
                        <wpg:grpSpPr>
                          <a:xfrm>
                            <a:off x="7" y="7"/>
                            <a:ext cx="10320" cy="2"/>
                            <a:chOff x="7" y="7"/>
                            <a:chExt cx="10320" cy="2"/>
                          </a:xfrm>
                        </wpg:grpSpPr>
                        <wps:wsp>
                          <wps:cNvPr id="3"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M4EROi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30" o:spid="_x0000_s1026" o:spt="100" style="position:absolute;left:7;top:7;height:2;width:10320;" filled="f" stroked="t" coordsize="10320,1" o:gfxdata="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LM0a8AAAA&#10;2gAAAA8AAAAAAAAAAQAgAAAAIgAAAGRycy9kb3ducmV2LnhtbFBLAQIUABQAAAAIAIdO4kAzLwWe&#10;OwAAADkAAAAQAAAAAAAAAAEAIAAAAAsBAABkcnMvc2hhcGV4bWwueG1sUEsFBgAAAAAGAAYAWwEA&#10;ALUDA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40kW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EVDCY40-1/2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EVDCY40-1/2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40kW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单枪/双枪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单枪满功率，双枪均分</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≤61A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53A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100A</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1622*700*360mm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≤166kg</w:t>
            </w:r>
          </w:p>
        </w:tc>
      </w:tr>
    </w:tbl>
    <w:p>
      <w:pPr>
        <w:spacing w:line="240" w:lineRule="atLeast"/>
        <w:rPr>
          <w:rFonts w:ascii="Times New Roman" w:hAnsi="Times New Roman" w:cs="Times New Roman"/>
          <w:sz w:val="20"/>
          <w:szCs w:val="20"/>
          <w:lang w:eastAsia="zh-CN"/>
        </w:rPr>
      </w:pPr>
      <w:bookmarkStart w:id="0" w:name="_GoBack"/>
      <w:bookmarkEnd w:id="0"/>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B20FB7"/>
    <w:rsid w:val="00B21023"/>
    <w:rsid w:val="00B4351E"/>
    <w:rsid w:val="00B8222A"/>
    <w:rsid w:val="00B91735"/>
    <w:rsid w:val="00BA00BC"/>
    <w:rsid w:val="00C944D9"/>
    <w:rsid w:val="00CB16F6"/>
    <w:rsid w:val="00E341C4"/>
    <w:rsid w:val="058955E9"/>
    <w:rsid w:val="06B34F7C"/>
    <w:rsid w:val="0A2E4A14"/>
    <w:rsid w:val="0DDB277A"/>
    <w:rsid w:val="0E5C4DCB"/>
    <w:rsid w:val="0EB60EBD"/>
    <w:rsid w:val="0F86138F"/>
    <w:rsid w:val="125B745E"/>
    <w:rsid w:val="14805E6D"/>
    <w:rsid w:val="15E54145"/>
    <w:rsid w:val="17F37298"/>
    <w:rsid w:val="1AB46B80"/>
    <w:rsid w:val="1D894CA7"/>
    <w:rsid w:val="1E5E671C"/>
    <w:rsid w:val="21645399"/>
    <w:rsid w:val="21A93757"/>
    <w:rsid w:val="22B954A4"/>
    <w:rsid w:val="241C3706"/>
    <w:rsid w:val="26B56D3C"/>
    <w:rsid w:val="27A75FE0"/>
    <w:rsid w:val="28345590"/>
    <w:rsid w:val="28407F43"/>
    <w:rsid w:val="2F363F45"/>
    <w:rsid w:val="2F6440CA"/>
    <w:rsid w:val="30FF1132"/>
    <w:rsid w:val="321F6F3E"/>
    <w:rsid w:val="38E27F47"/>
    <w:rsid w:val="3A331955"/>
    <w:rsid w:val="412A2310"/>
    <w:rsid w:val="42CB4E20"/>
    <w:rsid w:val="441E1359"/>
    <w:rsid w:val="46C82BDE"/>
    <w:rsid w:val="4DC47A08"/>
    <w:rsid w:val="52046BBA"/>
    <w:rsid w:val="55A2290A"/>
    <w:rsid w:val="57335916"/>
    <w:rsid w:val="576A660A"/>
    <w:rsid w:val="594F16DA"/>
    <w:rsid w:val="59C02B36"/>
    <w:rsid w:val="5C4D1803"/>
    <w:rsid w:val="5C7550A1"/>
    <w:rsid w:val="5CEC6CB8"/>
    <w:rsid w:val="5ED9276A"/>
    <w:rsid w:val="6195533E"/>
    <w:rsid w:val="65640EC5"/>
    <w:rsid w:val="68040309"/>
    <w:rsid w:val="68BE495C"/>
    <w:rsid w:val="69AF15DD"/>
    <w:rsid w:val="6B574AA1"/>
    <w:rsid w:val="6D6178BF"/>
    <w:rsid w:val="6E6305C3"/>
    <w:rsid w:val="6F3372A0"/>
    <w:rsid w:val="703E56FA"/>
    <w:rsid w:val="741B2C8C"/>
    <w:rsid w:val="79BB04CE"/>
    <w:rsid w:val="7B5D1692"/>
    <w:rsid w:val="7B6C4724"/>
    <w:rsid w:val="7CC57BAB"/>
    <w:rsid w:val="7D29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1692</Words>
  <Characters>2349</Characters>
  <Lines>22</Lines>
  <Paragraphs>6</Paragraphs>
  <TotalTime>1</TotalTime>
  <ScaleCrop>false</ScaleCrop>
  <LinksUpToDate>false</LinksUpToDate>
  <CharactersWithSpaces>2594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2022-07-19T03:05:04Z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4968D0E4305749E2ACADB0716AAAC3F2</vt:lpwstr>
  </property>
</Properties>
</file>